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jc w:val="center"/>
        <w:rPr>
          <w:rFonts w:hint="eastAsia" w:ascii="华文中宋" w:hAnsi="华文中宋" w:eastAsia="华文中宋" w:cs="华文中宋"/>
          <w:b w:val="0"/>
          <w:bCs w:val="0"/>
          <w:color w:val="000000" w:themeColor="text1"/>
          <w:sz w:val="44"/>
          <w:szCs w:val="44"/>
          <w:highlight w:val="none"/>
          <w14:textFill>
            <w14:solidFill>
              <w14:schemeClr w14:val="tx1"/>
            </w14:solidFill>
          </w14:textFill>
        </w:rPr>
      </w:pPr>
      <w:r>
        <w:rPr>
          <w:rFonts w:hint="eastAsia" w:ascii="华文中宋" w:hAnsi="华文中宋" w:eastAsia="华文中宋" w:cs="华文中宋"/>
          <w:b w:val="0"/>
          <w:bCs w:val="0"/>
          <w:color w:val="000000" w:themeColor="text1"/>
          <w:sz w:val="44"/>
          <w:szCs w:val="44"/>
          <w:highlight w:val="none"/>
          <w14:textFill>
            <w14:solidFill>
              <w14:schemeClr w14:val="tx1"/>
            </w14:solidFill>
          </w14:textFill>
        </w:rPr>
        <w:t>报价表</w:t>
      </w:r>
    </w:p>
    <w:tbl>
      <w:tblPr>
        <w:tblStyle w:val="4"/>
        <w:tblW w:w="8828"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31"/>
        <w:gridCol w:w="1449"/>
        <w:gridCol w:w="774"/>
        <w:gridCol w:w="900"/>
        <w:gridCol w:w="805"/>
        <w:gridCol w:w="941"/>
        <w:gridCol w:w="11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728" w:type="dxa"/>
            <w:vAlign w:val="center"/>
          </w:tcPr>
          <w:p>
            <w:pPr>
              <w:spacing w:line="320" w:lineRule="exact"/>
              <w:ind w:left="70" w:hanging="69" w:hangingChars="29"/>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1231" w:type="dxa"/>
            <w:vAlign w:val="center"/>
          </w:tcPr>
          <w:p>
            <w:pPr>
              <w:spacing w:line="320" w:lineRule="exact"/>
              <w:ind w:left="70" w:hanging="69" w:hangingChars="29"/>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商</w:t>
            </w:r>
            <w:r>
              <w:rPr>
                <w:rFonts w:hint="eastAsia" w:ascii="宋体" w:hAnsi="宋体" w:eastAsia="宋体" w:cs="宋体"/>
                <w:color w:val="000000" w:themeColor="text1"/>
                <w:sz w:val="24"/>
                <w:highlight w:val="none"/>
                <w14:textFill>
                  <w14:solidFill>
                    <w14:schemeClr w14:val="tx1"/>
                  </w14:solidFill>
                </w14:textFill>
              </w:rPr>
              <w:t>品名称</w:t>
            </w:r>
          </w:p>
        </w:tc>
        <w:tc>
          <w:tcPr>
            <w:tcW w:w="1449" w:type="dxa"/>
            <w:vAlign w:val="center"/>
          </w:tcPr>
          <w:p>
            <w:pPr>
              <w:spacing w:line="320" w:lineRule="exact"/>
              <w:ind w:left="70" w:hanging="69" w:hangingChars="29"/>
              <w:jc w:val="center"/>
              <w:rPr>
                <w:rFonts w:hint="eastAsia" w:ascii="宋体" w:hAnsi="宋体" w:eastAsia="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制造厂家及</w:t>
            </w:r>
            <w:r>
              <w:rPr>
                <w:rFonts w:hint="eastAsia" w:ascii="宋体" w:hAnsi="宋体" w:eastAsia="宋体" w:cs="宋体"/>
                <w:color w:val="000000" w:themeColor="text1"/>
                <w:sz w:val="24"/>
                <w:highlight w:val="none"/>
                <w14:textFill>
                  <w14:solidFill>
                    <w14:schemeClr w14:val="tx1"/>
                  </w14:solidFill>
                </w14:textFill>
              </w:rPr>
              <w:t>规格型号</w:t>
            </w:r>
          </w:p>
        </w:tc>
        <w:tc>
          <w:tcPr>
            <w:tcW w:w="774" w:type="dxa"/>
            <w:vAlign w:val="center"/>
          </w:tcPr>
          <w:p>
            <w:pPr>
              <w:spacing w:line="320" w:lineRule="exact"/>
              <w:ind w:left="70" w:hanging="69" w:hangingChars="29"/>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品牌</w:t>
            </w:r>
          </w:p>
        </w:tc>
        <w:tc>
          <w:tcPr>
            <w:tcW w:w="900" w:type="dxa"/>
            <w:vAlign w:val="center"/>
          </w:tcPr>
          <w:p>
            <w:pPr>
              <w:spacing w:line="320" w:lineRule="exact"/>
              <w:ind w:left="70" w:hanging="69" w:hangingChars="29"/>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单位</w:t>
            </w:r>
          </w:p>
        </w:tc>
        <w:tc>
          <w:tcPr>
            <w:tcW w:w="805" w:type="dxa"/>
            <w:vAlign w:val="center"/>
          </w:tcPr>
          <w:p>
            <w:pPr>
              <w:spacing w:line="320" w:lineRule="exact"/>
              <w:ind w:left="70" w:hanging="69" w:hangingChars="29"/>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数量</w:t>
            </w:r>
          </w:p>
        </w:tc>
        <w:tc>
          <w:tcPr>
            <w:tcW w:w="941" w:type="dxa"/>
            <w:vAlign w:val="center"/>
          </w:tcPr>
          <w:p>
            <w:pPr>
              <w:spacing w:line="320" w:lineRule="exact"/>
              <w:ind w:left="70" w:hanging="69" w:hangingChars="29"/>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单价</w:t>
            </w:r>
          </w:p>
          <w:p>
            <w:pPr>
              <w:spacing w:line="320" w:lineRule="exact"/>
              <w:ind w:left="70" w:hanging="69" w:hangingChars="29"/>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（元）</w:t>
            </w:r>
          </w:p>
        </w:tc>
        <w:tc>
          <w:tcPr>
            <w:tcW w:w="1100" w:type="dxa"/>
            <w:vAlign w:val="center"/>
          </w:tcPr>
          <w:p>
            <w:pPr>
              <w:spacing w:line="320" w:lineRule="exact"/>
              <w:ind w:left="70" w:hanging="69" w:hangingChars="29"/>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金额</w:t>
            </w:r>
          </w:p>
          <w:p>
            <w:pPr>
              <w:spacing w:line="320" w:lineRule="exact"/>
              <w:ind w:left="70" w:hanging="69" w:hangingChars="29"/>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（元）</w:t>
            </w:r>
          </w:p>
        </w:tc>
        <w:tc>
          <w:tcPr>
            <w:tcW w:w="900" w:type="dxa"/>
            <w:vAlign w:val="center"/>
          </w:tcPr>
          <w:p>
            <w:pPr>
              <w:spacing w:line="320" w:lineRule="exact"/>
              <w:ind w:left="70" w:hanging="69" w:hangingChars="29"/>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728"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23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449"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774"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805"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4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1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728"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23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449"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774"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805"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4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1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728"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23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449"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774"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805"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4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1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728"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23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449"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774"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805"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4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1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728"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23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449"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774"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805"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4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1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728"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23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449"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774"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805"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4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1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728"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23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449"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774"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805"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4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1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728"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23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449"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774"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805"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4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1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728"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23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449"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774"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805"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41"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11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900"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728" w:type="dxa"/>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p>
        </w:tc>
        <w:tc>
          <w:tcPr>
            <w:tcW w:w="8100" w:type="dxa"/>
            <w:gridSpan w:val="8"/>
            <w:vAlign w:val="center"/>
          </w:tcPr>
          <w:p>
            <w:pPr>
              <w:spacing w:line="320" w:lineRule="exact"/>
              <w:ind w:left="70" w:hanging="69" w:hangingChars="29"/>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报价合计（元）</w:t>
            </w:r>
          </w:p>
        </w:tc>
      </w:tr>
    </w:tbl>
    <w:p>
      <w:pPr>
        <w:spacing w:line="500" w:lineRule="exact"/>
        <w:ind w:left="964" w:hanging="964" w:hangingChars="343"/>
        <w:rPr>
          <w:rFonts w:hint="eastAsia" w:ascii="宋体" w:hAnsi="宋体" w:eastAsia="宋体" w:cs="宋体"/>
          <w:b/>
          <w:bCs/>
          <w:color w:val="000000" w:themeColor="text1"/>
          <w:sz w:val="28"/>
          <w:szCs w:val="28"/>
          <w:highlight w:val="none"/>
          <w14:textFill>
            <w14:solidFill>
              <w14:schemeClr w14:val="tx1"/>
            </w14:solidFill>
          </w14:textFill>
        </w:rPr>
      </w:pPr>
    </w:p>
    <w:p>
      <w:pPr>
        <w:spacing w:line="400" w:lineRule="exac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备注：</w:t>
      </w:r>
    </w:p>
    <w:p>
      <w:pPr>
        <w:spacing w:line="4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1．报价包含货款、运输、保险、税费、安装及完成本项目的所有费用。</w:t>
      </w:r>
    </w:p>
    <w:p>
      <w:pPr>
        <w:spacing w:line="4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2．供应商</w:t>
      </w:r>
      <w:r>
        <w:rPr>
          <w:rFonts w:hint="eastAsia" w:ascii="宋体" w:hAnsi="宋体" w:eastAsia="宋体" w:cs="宋体"/>
          <w:bCs/>
          <w:color w:val="000000" w:themeColor="text1"/>
          <w:sz w:val="24"/>
          <w:highlight w:val="none"/>
          <w14:textFill>
            <w14:solidFill>
              <w14:schemeClr w14:val="tx1"/>
            </w14:solidFill>
          </w14:textFill>
        </w:rPr>
        <w:t>必须按</w:t>
      </w:r>
      <w:r>
        <w:rPr>
          <w:rFonts w:hint="eastAsia" w:ascii="宋体" w:hAnsi="宋体" w:eastAsia="宋体" w:cs="宋体"/>
          <w:bCs/>
          <w:color w:val="000000" w:themeColor="text1"/>
          <w:sz w:val="24"/>
          <w:highlight w:val="none"/>
          <w:lang w:val="en-US" w:eastAsia="zh-CN"/>
          <w14:textFill>
            <w14:solidFill>
              <w14:schemeClr w14:val="tx1"/>
            </w14:solidFill>
          </w14:textFill>
        </w:rPr>
        <w:t>上述</w:t>
      </w:r>
      <w:r>
        <w:rPr>
          <w:rFonts w:hint="eastAsia" w:ascii="宋体" w:hAnsi="宋体" w:eastAsia="宋体" w:cs="宋体"/>
          <w:bCs/>
          <w:color w:val="000000" w:themeColor="text1"/>
          <w:sz w:val="24"/>
          <w:highlight w:val="none"/>
          <w14:textFill>
            <w14:solidFill>
              <w14:schemeClr w14:val="tx1"/>
            </w14:solidFill>
          </w14:textFill>
        </w:rPr>
        <w:t>格式详细报出总价的各个组成部分的报价。</w:t>
      </w:r>
    </w:p>
    <w:p>
      <w:pPr>
        <w:spacing w:line="4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3．此表可以相同格式进行扩展。</w:t>
      </w:r>
    </w:p>
    <w:p>
      <w:pPr>
        <w:rPr>
          <w:rFonts w:hint="eastAsia"/>
          <w:sz w:val="44"/>
          <w:szCs w:val="44"/>
          <w:lang w:val="en-US" w:eastAsia="zh-CN"/>
        </w:rPr>
      </w:pPr>
      <w:r>
        <w:rPr>
          <w:rFonts w:hint="eastAsia" w:ascii="宋体" w:hAnsi="宋体" w:eastAsia="宋体" w:cs="宋体"/>
          <w:color w:val="000000" w:themeColor="text1"/>
          <w:sz w:val="24"/>
          <w:highlight w:val="none"/>
          <w14:textFill>
            <w14:solidFill>
              <w14:schemeClr w14:val="tx1"/>
            </w14:solidFill>
          </w14:textFill>
        </w:rPr>
        <w:t xml:space="preserve">    4</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单价或总价如出现</w:t>
      </w:r>
      <w:r>
        <w:rPr>
          <w:rFonts w:hint="eastAsia" w:ascii="宋体" w:hAnsi="宋体" w:eastAsia="宋体" w:cs="宋体"/>
          <w:color w:val="000000" w:themeColor="text1"/>
          <w:sz w:val="24"/>
          <w:highlight w:val="none"/>
          <w14:textFill>
            <w14:solidFill>
              <w14:schemeClr w14:val="tx1"/>
            </w14:solidFill>
          </w14:textFill>
        </w:rPr>
        <w:t>超过本项目预算的</w:t>
      </w:r>
      <w:r>
        <w:rPr>
          <w:rFonts w:hint="eastAsia" w:ascii="宋体" w:hAnsi="宋体" w:eastAsia="宋体" w:cs="宋体"/>
          <w:color w:val="000000" w:themeColor="text1"/>
          <w:sz w:val="24"/>
          <w:highlight w:val="none"/>
          <w:lang w:val="en-US" w:eastAsia="zh-CN"/>
          <w14:textFill>
            <w14:solidFill>
              <w14:schemeClr w14:val="tx1"/>
            </w14:solidFill>
          </w14:textFill>
        </w:rPr>
        <w:t>作无效投标处理</w:t>
      </w:r>
      <w:r>
        <w:rPr>
          <w:rFonts w:hint="eastAsia" w:ascii="宋体" w:hAnsi="宋体" w:eastAsia="宋体" w:cs="宋体"/>
          <w:color w:val="000000" w:themeColor="text1"/>
          <w:sz w:val="24"/>
          <w:highlight w:val="none"/>
          <w14:textFill>
            <w14:solidFill>
              <w14:schemeClr w14:val="tx1"/>
            </w14:solidFill>
          </w14:textFill>
        </w:rPr>
        <w:t>。</w:t>
      </w:r>
    </w:p>
    <w:p>
      <w:pPr>
        <w:widowControl/>
        <w:shd w:val="clear" w:color="auto" w:fill="FFFFFF"/>
        <w:spacing w:line="480" w:lineRule="atLeast"/>
        <w:jc w:val="center"/>
        <w:rPr>
          <w:rFonts w:ascii="Times New Roman" w:hAnsi="Times New Roman" w:eastAsia="微软雅黑" w:cs="Times New Roman"/>
          <w:color w:val="333333"/>
          <w:kern w:val="0"/>
          <w:sz w:val="44"/>
          <w:szCs w:val="44"/>
        </w:rPr>
      </w:pPr>
    </w:p>
    <w:p>
      <w:pPr>
        <w:widowControl/>
        <w:shd w:val="clear" w:color="auto" w:fill="FFFFFF"/>
        <w:spacing w:line="480" w:lineRule="atLeast"/>
        <w:jc w:val="center"/>
        <w:rPr>
          <w:rFonts w:ascii="Times New Roman" w:hAnsi="Times New Roman" w:eastAsia="微软雅黑" w:cs="Times New Roman"/>
          <w:color w:val="333333"/>
          <w:kern w:val="0"/>
          <w:sz w:val="44"/>
          <w:szCs w:val="44"/>
        </w:rPr>
      </w:pPr>
    </w:p>
    <w:p>
      <w:pPr>
        <w:pStyle w:val="2"/>
      </w:pPr>
    </w:p>
    <w:p>
      <w:pPr>
        <w:widowControl/>
        <w:shd w:val="clear" w:color="auto" w:fill="FFFFFF"/>
        <w:spacing w:line="480" w:lineRule="atLeast"/>
        <w:jc w:val="center"/>
        <w:rPr>
          <w:rFonts w:ascii="Times New Roman" w:hAnsi="Times New Roman" w:eastAsia="微软雅黑" w:cs="Times New Roman"/>
          <w:color w:val="333333"/>
          <w:kern w:val="0"/>
          <w:sz w:val="44"/>
          <w:szCs w:val="44"/>
        </w:rPr>
      </w:pPr>
    </w:p>
    <w:p>
      <w:pPr>
        <w:widowControl/>
        <w:shd w:val="clear" w:color="auto" w:fill="FFFFFF"/>
        <w:spacing w:line="480" w:lineRule="atLeast"/>
        <w:jc w:val="center"/>
        <w:rPr>
          <w:rFonts w:ascii="Times New Roman" w:hAnsi="Times New Roman" w:eastAsia="微软雅黑" w:cs="Times New Roman"/>
          <w:color w:val="333333"/>
          <w:kern w:val="0"/>
          <w:sz w:val="44"/>
          <w:szCs w:val="44"/>
        </w:rPr>
      </w:pPr>
    </w:p>
    <w:p>
      <w:pPr>
        <w:widowControl/>
        <w:shd w:val="clear" w:color="auto" w:fill="FFFFFF"/>
        <w:spacing w:line="480" w:lineRule="atLeast"/>
        <w:jc w:val="center"/>
        <w:rPr>
          <w:rFonts w:ascii="Times New Roman" w:hAnsi="Times New Roman" w:eastAsia="微软雅黑" w:cs="Times New Roman"/>
          <w:color w:val="333333"/>
          <w:kern w:val="0"/>
          <w:sz w:val="44"/>
          <w:szCs w:val="44"/>
        </w:rPr>
      </w:pPr>
    </w:p>
    <w:p>
      <w:pPr>
        <w:widowControl/>
        <w:shd w:val="clear" w:color="auto" w:fill="FFFFFF"/>
        <w:spacing w:line="480" w:lineRule="atLeast"/>
        <w:jc w:val="center"/>
        <w:rPr>
          <w:rFonts w:ascii="Times New Roman" w:hAnsi="Times New Roman" w:eastAsia="微软雅黑" w:cs="Times New Roman"/>
          <w:color w:val="333333"/>
          <w:kern w:val="0"/>
          <w:sz w:val="44"/>
          <w:szCs w:val="44"/>
        </w:rPr>
      </w:pPr>
    </w:p>
    <w:p>
      <w:pPr>
        <w:widowControl/>
        <w:shd w:val="clear" w:color="auto" w:fill="FFFFFF"/>
        <w:spacing w:line="480" w:lineRule="atLeast"/>
        <w:jc w:val="center"/>
        <w:rPr>
          <w:rFonts w:ascii="Times New Roman" w:hAnsi="Times New Roman" w:eastAsia="微软雅黑" w:cs="Times New Roman"/>
          <w:color w:val="333333"/>
          <w:kern w:val="0"/>
          <w:sz w:val="44"/>
          <w:szCs w:val="44"/>
        </w:rPr>
      </w:pPr>
    </w:p>
    <w:p>
      <w:pPr>
        <w:widowControl/>
        <w:shd w:val="clear" w:color="auto" w:fill="FFFFFF"/>
        <w:spacing w:line="480" w:lineRule="atLeast"/>
        <w:jc w:val="center"/>
        <w:rPr>
          <w:rFonts w:ascii="Times New Roman" w:hAnsi="Times New Roman" w:eastAsia="微软雅黑" w:cs="Times New Roman"/>
          <w:color w:val="333333"/>
          <w:kern w:val="0"/>
          <w:sz w:val="44"/>
          <w:szCs w:val="44"/>
        </w:rPr>
      </w:pPr>
    </w:p>
    <w:p>
      <w:pPr>
        <w:widowControl/>
        <w:shd w:val="clear" w:color="auto" w:fill="FFFFFF"/>
        <w:spacing w:line="480" w:lineRule="atLeast"/>
        <w:jc w:val="center"/>
        <w:rPr>
          <w:rFonts w:ascii="Times New Roman" w:hAnsi="Times New Roman" w:eastAsia="微软雅黑" w:cs="Times New Roman"/>
          <w:color w:val="333333"/>
          <w:kern w:val="0"/>
          <w:sz w:val="44"/>
          <w:szCs w:val="44"/>
        </w:rPr>
      </w:pPr>
    </w:p>
    <w:p>
      <w:pPr>
        <w:widowControl/>
        <w:shd w:val="clear" w:color="auto" w:fill="FFFFFF"/>
        <w:spacing w:line="480" w:lineRule="atLeast"/>
        <w:jc w:val="center"/>
        <w:rPr>
          <w:rFonts w:ascii="微软雅黑" w:hAnsi="微软雅黑" w:eastAsia="微软雅黑" w:cs="宋体"/>
          <w:color w:val="333333"/>
          <w:kern w:val="0"/>
          <w:sz w:val="17"/>
          <w:szCs w:val="17"/>
        </w:rPr>
      </w:pPr>
      <w:r>
        <w:rPr>
          <w:rFonts w:ascii="Times New Roman" w:hAnsi="Times New Roman" w:eastAsia="微软雅黑" w:cs="Times New Roman"/>
          <w:color w:val="333333"/>
          <w:kern w:val="0"/>
          <w:sz w:val="44"/>
          <w:szCs w:val="44"/>
        </w:rPr>
        <w:t>评分细则</w:t>
      </w:r>
    </w:p>
    <w:tbl>
      <w:tblPr>
        <w:tblStyle w:val="4"/>
        <w:tblW w:w="9575" w:type="dxa"/>
        <w:tblInd w:w="0" w:type="dxa"/>
        <w:shd w:val="clear" w:color="auto" w:fill="FFFFFF"/>
        <w:tblLayout w:type="autofit"/>
        <w:tblCellMar>
          <w:top w:w="0" w:type="dxa"/>
          <w:left w:w="0" w:type="dxa"/>
          <w:bottom w:w="0" w:type="dxa"/>
          <w:right w:w="0" w:type="dxa"/>
        </w:tblCellMar>
      </w:tblPr>
      <w:tblGrid>
        <w:gridCol w:w="1476"/>
        <w:gridCol w:w="961"/>
        <w:gridCol w:w="5987"/>
        <w:gridCol w:w="1151"/>
      </w:tblGrid>
      <w:tr>
        <w:tblPrEx>
          <w:shd w:val="clear" w:color="auto" w:fill="FFFFFF"/>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06"/>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评分因素</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88"/>
              <w:jc w:val="both"/>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分值</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firstLine="1687" w:firstLineChars="700"/>
              <w:jc w:val="both"/>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评分标准</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449"/>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备注</w:t>
            </w: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价格</w:t>
            </w:r>
          </w:p>
          <w:p>
            <w:pPr>
              <w:widowControl/>
              <w:spacing w:line="480" w:lineRule="atLeast"/>
              <w:jc w:val="center"/>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（30%）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 </w:t>
            </w:r>
          </w:p>
          <w:p>
            <w:pPr>
              <w:widowControl/>
              <w:spacing w:line="480" w:lineRule="atLeast"/>
              <w:jc w:val="center"/>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30分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07"/>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以本次有效投标的最低投标报价为基准价，其价格分为满分。其他投标人的价格分统一按照下列公式计算价格得分=（基准价/投标报价）×30。</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left"/>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 </w:t>
            </w: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履约能力20%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20分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供应商提供类似项目业绩一个得5分，本项最高得20分。</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提供合同复印件或验收单加盖供应商单位鲜章。</w:t>
            </w: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4"/>
                <w:szCs w:val="24"/>
                <w:lang w:val="en-US" w:eastAsia="zh-CN"/>
              </w:rPr>
            </w:pPr>
            <w:r>
              <w:rPr>
                <w:rFonts w:hint="eastAsia" w:ascii="华文仿宋" w:hAnsi="华文仿宋" w:eastAsia="华文仿宋" w:cs="华文仿宋"/>
                <w:b w:val="0"/>
                <w:bCs w:val="0"/>
                <w:color w:val="333333"/>
                <w:kern w:val="0"/>
                <w:sz w:val="24"/>
                <w:szCs w:val="24"/>
              </w:rPr>
              <w:t> 技术参数</w:t>
            </w:r>
            <w:r>
              <w:rPr>
                <w:rFonts w:hint="eastAsia" w:ascii="华文仿宋" w:hAnsi="华文仿宋" w:eastAsia="华文仿宋" w:cs="华文仿宋"/>
                <w:b w:val="0"/>
                <w:bCs w:val="0"/>
                <w:color w:val="333333"/>
                <w:kern w:val="0"/>
                <w:sz w:val="24"/>
                <w:szCs w:val="24"/>
                <w:lang w:val="en-US" w:eastAsia="zh-CN"/>
              </w:rPr>
              <w:t>及样品</w:t>
            </w:r>
          </w:p>
          <w:p>
            <w:pPr>
              <w:widowControl/>
              <w:spacing w:line="480" w:lineRule="atLeast"/>
              <w:ind w:left="193"/>
              <w:jc w:val="center"/>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（30%）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 </w:t>
            </w:r>
          </w:p>
          <w:p>
            <w:pPr>
              <w:widowControl/>
              <w:spacing w:line="480" w:lineRule="atLeast"/>
              <w:jc w:val="center"/>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30分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rPr>
                <w:rFonts w:hint="eastAsia"/>
                <w:sz w:val="24"/>
                <w:szCs w:val="24"/>
                <w:lang w:val="en-US" w:eastAsia="zh-CN"/>
              </w:rPr>
            </w:pPr>
            <w:r>
              <w:rPr>
                <w:rFonts w:hint="eastAsia"/>
                <w:sz w:val="24"/>
                <w:szCs w:val="24"/>
                <w:lang w:eastAsia="en-US"/>
              </w:rPr>
              <w:t>①</w:t>
            </w:r>
            <w:r>
              <w:rPr>
                <w:rFonts w:hint="eastAsia"/>
                <w:sz w:val="24"/>
                <w:szCs w:val="24"/>
                <w:lang w:val="en-US" w:eastAsia="zh-CN"/>
              </w:rPr>
              <w:t>供应商报价产品技术参数完全满足配置要求得16分，</w:t>
            </w:r>
            <w:r>
              <w:rPr>
                <w:rFonts w:hint="eastAsia"/>
                <w:sz w:val="24"/>
                <w:szCs w:val="24"/>
              </w:rPr>
              <w:t>每有一项</w:t>
            </w:r>
            <w:r>
              <w:rPr>
                <w:rFonts w:hint="eastAsia"/>
                <w:sz w:val="24"/>
                <w:szCs w:val="24"/>
                <w:lang w:eastAsia="zh-CN"/>
              </w:rPr>
              <w:t>（</w:t>
            </w:r>
            <w:r>
              <w:rPr>
                <w:rFonts w:hint="eastAsia"/>
                <w:sz w:val="24"/>
                <w:szCs w:val="24"/>
                <w:lang w:val="en-US" w:eastAsia="zh-CN"/>
              </w:rPr>
              <w:t>共32项</w:t>
            </w:r>
            <w:r>
              <w:rPr>
                <w:rFonts w:hint="eastAsia"/>
                <w:sz w:val="24"/>
                <w:szCs w:val="24"/>
                <w:lang w:eastAsia="zh-CN"/>
              </w:rPr>
              <w:t>）</w:t>
            </w:r>
            <w:r>
              <w:rPr>
                <w:rFonts w:hint="eastAsia"/>
                <w:sz w:val="24"/>
                <w:szCs w:val="24"/>
              </w:rPr>
              <w:t>参数</w:t>
            </w:r>
            <w:r>
              <w:rPr>
                <w:rFonts w:hint="eastAsia"/>
                <w:sz w:val="24"/>
                <w:szCs w:val="24"/>
                <w:lang w:val="en-US" w:eastAsia="zh-CN"/>
              </w:rPr>
              <w:t>不</w:t>
            </w:r>
            <w:r>
              <w:rPr>
                <w:rFonts w:hint="eastAsia"/>
                <w:sz w:val="24"/>
                <w:szCs w:val="24"/>
              </w:rPr>
              <w:t>满足</w:t>
            </w:r>
            <w:r>
              <w:rPr>
                <w:rFonts w:hint="eastAsia"/>
                <w:sz w:val="24"/>
                <w:szCs w:val="24"/>
                <w:lang w:val="en-US" w:eastAsia="zh-CN"/>
              </w:rPr>
              <w:t>存在偏离扣0.5</w:t>
            </w:r>
            <w:r>
              <w:rPr>
                <w:rFonts w:hint="eastAsia"/>
                <w:sz w:val="24"/>
                <w:szCs w:val="24"/>
              </w:rPr>
              <w:t>分。</w:t>
            </w:r>
          </w:p>
          <w:p>
            <w:pPr>
              <w:rPr>
                <w:rFonts w:hint="eastAsia" w:ascii="华文仿宋" w:hAnsi="华文仿宋" w:eastAsia="华文仿宋" w:cs="华文仿宋"/>
                <w:b w:val="0"/>
                <w:bCs w:val="0"/>
                <w:sz w:val="24"/>
                <w:szCs w:val="24"/>
              </w:rPr>
            </w:pPr>
            <w:r>
              <w:rPr>
                <w:rFonts w:hint="eastAsia"/>
                <w:sz w:val="24"/>
                <w:szCs w:val="24"/>
                <w:lang w:eastAsia="en-US"/>
              </w:rPr>
              <w:t>②</w:t>
            </w:r>
            <w:r>
              <w:rPr>
                <w:rFonts w:hint="eastAsia"/>
                <w:sz w:val="24"/>
                <w:szCs w:val="24"/>
                <w:lang w:val="en-US" w:eastAsia="zh-CN"/>
              </w:rPr>
              <w:t>供应商按照要求提供样品（10项），完全满足要求得14分，每缺少一项样品扣1.4分，样品不满足要求存在偏离扣0.7分。</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left"/>
              <w:rPr>
                <w:rFonts w:hint="eastAsia" w:ascii="华文仿宋" w:hAnsi="华文仿宋" w:eastAsia="华文仿宋" w:cs="华文仿宋"/>
                <w:b w:val="0"/>
                <w:bCs w:val="0"/>
                <w:color w:val="333333"/>
                <w:kern w:val="0"/>
                <w:sz w:val="24"/>
                <w:szCs w:val="24"/>
                <w:lang w:val="en-US" w:eastAsia="zh-CN"/>
              </w:rPr>
            </w:pPr>
          </w:p>
        </w:tc>
      </w:tr>
      <w:tr>
        <w:tblPrEx>
          <w:tblCellMar>
            <w:top w:w="0" w:type="dxa"/>
            <w:left w:w="0" w:type="dxa"/>
            <w:bottom w:w="0" w:type="dxa"/>
            <w:right w:w="0"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后续保障20%</w:t>
            </w:r>
          </w:p>
        </w:tc>
        <w:tc>
          <w:tcPr>
            <w:tcW w:w="79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20分</w:t>
            </w:r>
          </w:p>
        </w:tc>
        <w:tc>
          <w:tcPr>
            <w:tcW w:w="4932"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4"/>
                <w:szCs w:val="24"/>
                <w:lang w:eastAsia="zh-CN"/>
              </w:rPr>
            </w:pPr>
            <w:r>
              <w:rPr>
                <w:rFonts w:hint="eastAsia" w:ascii="华文仿宋" w:hAnsi="华文仿宋" w:eastAsia="华文仿宋" w:cs="华文仿宋"/>
                <w:b w:val="0"/>
                <w:bCs w:val="0"/>
                <w:color w:val="333333"/>
                <w:kern w:val="0"/>
                <w:sz w:val="24"/>
                <w:szCs w:val="24"/>
              </w:rPr>
              <w:t>根据供应商提供的方案（包括但不限于</w:t>
            </w:r>
            <w:r>
              <w:rPr>
                <w:rFonts w:hint="eastAsia" w:ascii="华文仿宋" w:hAnsi="华文仿宋" w:eastAsia="华文仿宋" w:cs="华文仿宋"/>
                <w:b w:val="0"/>
                <w:bCs w:val="0"/>
                <w:snapToGrid/>
                <w:color w:val="000000" w:themeColor="text1"/>
                <w:kern w:val="2"/>
                <w:sz w:val="24"/>
                <w:szCs w:val="24"/>
                <w:lang w:eastAsia="en-US" w:bidi="ar-SA"/>
                <w14:textFill>
                  <w14:solidFill>
                    <w14:schemeClr w14:val="tx1"/>
                  </w14:solidFill>
                </w14:textFill>
              </w:rPr>
              <w:t>①货源保障措施②</w:t>
            </w:r>
            <w:r>
              <w:rPr>
                <w:rFonts w:hint="eastAsia" w:ascii="华文仿宋" w:hAnsi="华文仿宋" w:eastAsia="华文仿宋" w:cs="华文仿宋"/>
                <w:b w:val="0"/>
                <w:bCs w:val="0"/>
                <w:snapToGrid/>
                <w:color w:val="000000" w:themeColor="text1"/>
                <w:kern w:val="2"/>
                <w:sz w:val="24"/>
                <w:szCs w:val="24"/>
                <w:lang w:val="en-US" w:eastAsia="zh-CN" w:bidi="ar-SA"/>
                <w14:textFill>
                  <w14:solidFill>
                    <w14:schemeClr w14:val="tx1"/>
                  </w14:solidFill>
                </w14:textFill>
              </w:rPr>
              <w:t>配送方案</w:t>
            </w:r>
            <w:r>
              <w:rPr>
                <w:rFonts w:hint="eastAsia" w:ascii="华文仿宋" w:hAnsi="华文仿宋" w:eastAsia="华文仿宋" w:cs="华文仿宋"/>
                <w:b w:val="0"/>
                <w:bCs w:val="0"/>
                <w:snapToGrid/>
                <w:color w:val="000000" w:themeColor="text1"/>
                <w:kern w:val="2"/>
                <w:sz w:val="24"/>
                <w:szCs w:val="24"/>
                <w:lang w:eastAsia="en-US" w:bidi="ar-SA"/>
                <w14:textFill>
                  <w14:solidFill>
                    <w14:schemeClr w14:val="tx1"/>
                  </w14:solidFill>
                </w14:textFill>
              </w:rPr>
              <w:t>③运输安全措施④</w:t>
            </w:r>
            <w:r>
              <w:rPr>
                <w:rFonts w:hint="eastAsia" w:ascii="华文仿宋" w:hAnsi="华文仿宋" w:eastAsia="华文仿宋" w:cs="华文仿宋"/>
                <w:b w:val="0"/>
                <w:bCs w:val="0"/>
                <w:color w:val="333333"/>
                <w:kern w:val="0"/>
                <w:sz w:val="24"/>
                <w:szCs w:val="24"/>
                <w:lang w:val="en-US" w:eastAsia="zh-CN"/>
              </w:rPr>
              <w:t>产品</w:t>
            </w:r>
            <w:r>
              <w:rPr>
                <w:rFonts w:hint="eastAsia" w:ascii="华文仿宋" w:hAnsi="华文仿宋" w:eastAsia="华文仿宋" w:cs="华文仿宋"/>
                <w:b w:val="0"/>
                <w:bCs w:val="0"/>
                <w:color w:val="333333"/>
                <w:kern w:val="0"/>
                <w:sz w:val="24"/>
                <w:szCs w:val="24"/>
              </w:rPr>
              <w:t>质量保障措施⑤售后服务响应措施）进行评审，满分20分；每缺少一项扣</w:t>
            </w:r>
            <w:r>
              <w:rPr>
                <w:rFonts w:hint="eastAsia" w:ascii="华文仿宋" w:hAnsi="华文仿宋" w:eastAsia="华文仿宋" w:cs="华文仿宋"/>
                <w:b w:val="0"/>
                <w:bCs w:val="0"/>
                <w:color w:val="333333"/>
                <w:kern w:val="0"/>
                <w:sz w:val="24"/>
                <w:szCs w:val="24"/>
                <w:lang w:val="en-US" w:eastAsia="zh-CN"/>
              </w:rPr>
              <w:t>4</w:t>
            </w:r>
            <w:r>
              <w:rPr>
                <w:rFonts w:hint="eastAsia" w:ascii="华文仿宋" w:hAnsi="华文仿宋" w:eastAsia="华文仿宋" w:cs="华文仿宋"/>
                <w:b w:val="0"/>
                <w:bCs w:val="0"/>
                <w:color w:val="333333"/>
                <w:kern w:val="0"/>
                <w:sz w:val="24"/>
                <w:szCs w:val="24"/>
              </w:rPr>
              <w:t>分，每项内容有缺陷的扣2分，扣完为止。注：内容缺陷为分析内容与实际不符或存在偏差或过于简略或存在无关的内容或分析内容不满足要求的</w:t>
            </w:r>
            <w:r>
              <w:rPr>
                <w:rFonts w:hint="eastAsia" w:ascii="华文仿宋" w:hAnsi="华文仿宋" w:eastAsia="华文仿宋" w:cs="华文仿宋"/>
                <w:b w:val="0"/>
                <w:bCs w:val="0"/>
                <w:color w:val="333333"/>
                <w:kern w:val="0"/>
                <w:sz w:val="24"/>
                <w:szCs w:val="24"/>
                <w:lang w:eastAsia="zh-CN"/>
              </w:rPr>
              <w:t>。</w:t>
            </w:r>
          </w:p>
        </w:tc>
        <w:tc>
          <w:tcPr>
            <w:tcW w:w="948"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4"/>
                <w:szCs w:val="24"/>
              </w:rPr>
            </w:pPr>
            <w:r>
              <w:rPr>
                <w:rFonts w:hint="eastAsia" w:ascii="华文仿宋" w:hAnsi="华文仿宋" w:eastAsia="华文仿宋" w:cs="华文仿宋"/>
                <w:b w:val="0"/>
                <w:bCs w:val="0"/>
                <w:color w:val="333333"/>
                <w:kern w:val="0"/>
                <w:sz w:val="24"/>
                <w:szCs w:val="24"/>
              </w:rPr>
              <w:t> </w:t>
            </w:r>
          </w:p>
        </w:tc>
      </w:tr>
    </w:tbl>
    <w:p>
      <w:pPr>
        <w:rPr>
          <w:rFonts w:hint="default"/>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YzY2NjZmODFhMDkxY2JiOThkMTU3ZjUzNmIzZjEifQ=="/>
  </w:docVars>
  <w:rsids>
    <w:rsidRoot w:val="00000000"/>
    <w:rsid w:val="050A67D9"/>
    <w:rsid w:val="08494D52"/>
    <w:rsid w:val="0DB67377"/>
    <w:rsid w:val="1D53579D"/>
    <w:rsid w:val="23BF2F5E"/>
    <w:rsid w:val="2DAA1240"/>
    <w:rsid w:val="2DB87907"/>
    <w:rsid w:val="305D4114"/>
    <w:rsid w:val="3A331E3B"/>
    <w:rsid w:val="40B33BCE"/>
    <w:rsid w:val="48D113E4"/>
    <w:rsid w:val="4BAF29F8"/>
    <w:rsid w:val="4D9F6581"/>
    <w:rsid w:val="563361D9"/>
    <w:rsid w:val="5DBD31B2"/>
    <w:rsid w:val="6C457434"/>
    <w:rsid w:val="76551057"/>
    <w:rsid w:val="7E0B022C"/>
    <w:rsid w:val="7ED8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7">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2023-11-15T02:38:00Z</dcterms:created>
  <dc:creator>Lenovo</dc:creator>
  <cp:lastModifiedBy>Jensen</cp:lastModifiedBy>
  <dcterms:modified xsi:type="dcterms:W3CDTF">2023-12-29T01:21:59Z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79E08586B3A74A5B8DEB40FD83BD8D75_13</vt:lpwstr>
  </property>
</Properties>
</file>